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934" w:rsidRPr="00E52475" w:rsidRDefault="001D7934" w:rsidP="001D7934">
      <w:pPr>
        <w:jc w:val="center"/>
        <w:rPr>
          <w:b/>
          <w:u w:val="single"/>
        </w:rPr>
      </w:pPr>
      <w:bookmarkStart w:id="0" w:name="_GoBack"/>
      <w:bookmarkEnd w:id="0"/>
      <w:r w:rsidRPr="00E52475">
        <w:rPr>
          <w:b/>
          <w:u w:val="single"/>
        </w:rPr>
        <w:t>PARECER JURÍDICO</w:t>
      </w:r>
    </w:p>
    <w:p w:rsidR="001D7934" w:rsidRPr="00296B4F" w:rsidRDefault="001D7934" w:rsidP="001D7934"/>
    <w:p w:rsidR="001D7934" w:rsidRPr="00296B4F" w:rsidRDefault="001D7934" w:rsidP="001D7934"/>
    <w:p w:rsidR="001D7934" w:rsidRPr="00296B4F" w:rsidRDefault="001D7934" w:rsidP="001D7934"/>
    <w:p w:rsidR="001D7934" w:rsidRPr="00296B4F" w:rsidRDefault="001D7934" w:rsidP="001D7934">
      <w:pPr>
        <w:jc w:val="center"/>
        <w:rPr>
          <w:b/>
        </w:rPr>
      </w:pPr>
      <w:r>
        <w:rPr>
          <w:b/>
        </w:rPr>
        <w:t>PROJETO DE LEI MUNICIPAL Nº 011 DE 22 DE FEVEREIRO DE 2021</w:t>
      </w:r>
    </w:p>
    <w:p w:rsidR="001D7934" w:rsidRPr="00296B4F" w:rsidRDefault="001D7934" w:rsidP="001D7934">
      <w:pPr>
        <w:jc w:val="center"/>
        <w:rPr>
          <w:b/>
        </w:rPr>
      </w:pPr>
    </w:p>
    <w:p w:rsidR="001D7934" w:rsidRPr="00296B4F" w:rsidRDefault="001D7934" w:rsidP="001D7934">
      <w:pPr>
        <w:jc w:val="center"/>
        <w:rPr>
          <w:b/>
        </w:rPr>
      </w:pPr>
    </w:p>
    <w:p w:rsidR="001D7934" w:rsidRPr="00296B4F" w:rsidRDefault="001D7934" w:rsidP="001D7934">
      <w:pPr>
        <w:jc w:val="center"/>
      </w:pPr>
    </w:p>
    <w:p w:rsidR="001D7934" w:rsidRPr="001D70C8" w:rsidRDefault="001D7934" w:rsidP="00182EC8">
      <w:pPr>
        <w:ind w:left="4140"/>
        <w:jc w:val="both"/>
        <w:rPr>
          <w:rStyle w:val="Forte"/>
        </w:rPr>
      </w:pPr>
      <w:r>
        <w:rPr>
          <w:rStyle w:val="Forte"/>
        </w:rPr>
        <w:t>AUTORIZA O MUNICIPIO A PERMUTAR SERVIDOR COM O MUNICIPIO DE RONDINHA, E DÁ OUTRAS PROVIDÊNCIAS.</w:t>
      </w:r>
    </w:p>
    <w:p w:rsidR="001D7934" w:rsidRPr="001D70C8" w:rsidRDefault="001D7934" w:rsidP="001D7934">
      <w:pPr>
        <w:jc w:val="both"/>
        <w:rPr>
          <w:rStyle w:val="Forte"/>
        </w:rPr>
      </w:pPr>
    </w:p>
    <w:p w:rsidR="001D7934" w:rsidRDefault="001D7934" w:rsidP="001D7934">
      <w:pPr>
        <w:tabs>
          <w:tab w:val="left" w:pos="1620"/>
        </w:tabs>
        <w:jc w:val="both"/>
      </w:pPr>
    </w:p>
    <w:p w:rsidR="001D7934" w:rsidRDefault="001D7934" w:rsidP="001D7934">
      <w:pPr>
        <w:spacing w:line="360" w:lineRule="auto"/>
        <w:ind w:firstLine="1259"/>
        <w:jc w:val="both"/>
      </w:pPr>
      <w:r>
        <w:tab/>
      </w:r>
      <w:r w:rsidRPr="00296B4F">
        <w:t>O projeto</w:t>
      </w:r>
      <w:r>
        <w:t xml:space="preserve"> que veio para análise do Legislativo visa conforme art. 1º, autorizar o executivo do Município a permutar servidor (professor) com o Município de Rondinha. </w:t>
      </w:r>
    </w:p>
    <w:p w:rsidR="001D7934" w:rsidRDefault="001D7934" w:rsidP="001D7934">
      <w:pPr>
        <w:spacing w:line="360" w:lineRule="auto"/>
        <w:ind w:firstLine="708"/>
        <w:jc w:val="both"/>
      </w:pPr>
      <w:r>
        <w:t>Conforme A Lei Municipal 042/93, em seu artigo 112, há previsão de afastamento de servidor para servir outro órgão ou entidade.</w:t>
      </w:r>
    </w:p>
    <w:p w:rsidR="00182EC8" w:rsidRDefault="00182EC8" w:rsidP="00182EC8">
      <w:pPr>
        <w:spacing w:line="360" w:lineRule="auto"/>
        <w:ind w:left="2268"/>
        <w:jc w:val="both"/>
      </w:pPr>
      <w:r>
        <w:t xml:space="preserve">Art. 112. O servidor poderá ser cedido para ter exercício em outro órgão ou entidade privada e dos poderes da União, dos estados e dos municípios, nas seguintes hipóteses: </w:t>
      </w:r>
    </w:p>
    <w:p w:rsidR="00182EC8" w:rsidRPr="00182EC8" w:rsidRDefault="00182EC8" w:rsidP="00182EC8">
      <w:pPr>
        <w:spacing w:line="360" w:lineRule="auto"/>
        <w:ind w:left="2268"/>
        <w:jc w:val="both"/>
        <w:rPr>
          <w:b/>
        </w:rPr>
      </w:pPr>
      <w:r>
        <w:t xml:space="preserve">I – para exercício de função de confiança ou cargo em comissão; </w:t>
      </w:r>
      <w:r w:rsidRPr="00182EC8">
        <w:rPr>
          <w:b/>
        </w:rPr>
        <w:t xml:space="preserve">II – em casos previstos em leis específicas; </w:t>
      </w:r>
    </w:p>
    <w:p w:rsidR="00182EC8" w:rsidRDefault="00182EC8" w:rsidP="00182EC8">
      <w:pPr>
        <w:spacing w:line="360" w:lineRule="auto"/>
        <w:ind w:left="2268"/>
        <w:jc w:val="both"/>
      </w:pPr>
      <w:r>
        <w:t>III – para cumprimento de convênio.</w:t>
      </w:r>
    </w:p>
    <w:p w:rsidR="00182EC8" w:rsidRDefault="00182EC8" w:rsidP="00182EC8">
      <w:pPr>
        <w:spacing w:line="360" w:lineRule="auto"/>
        <w:ind w:firstLine="708"/>
        <w:jc w:val="both"/>
      </w:pPr>
      <w:r>
        <w:tab/>
      </w:r>
    </w:p>
    <w:p w:rsidR="00182EC8" w:rsidRDefault="00182EC8" w:rsidP="00182EC8">
      <w:pPr>
        <w:spacing w:line="360" w:lineRule="auto"/>
        <w:ind w:firstLine="708"/>
        <w:jc w:val="both"/>
      </w:pPr>
      <w:r>
        <w:t>Nesse sentido, a possibilidade de permuta de professores entre órgãos esta prevista no plano de Ca</w:t>
      </w:r>
      <w:r w:rsidR="00582E92">
        <w:t>rreira do M</w:t>
      </w:r>
      <w:r>
        <w:t>agistério</w:t>
      </w:r>
      <w:r w:rsidR="00582E92">
        <w:t>, Lei numero 433/2001,</w:t>
      </w:r>
      <w:r>
        <w:t xml:space="preserve"> que se trata de lei especifica, </w:t>
      </w:r>
      <w:r w:rsidR="00582E92">
        <w:t>no seu artigo 21, parágrafo 3, conforme abaixo:</w:t>
      </w:r>
    </w:p>
    <w:p w:rsidR="00582E92" w:rsidRDefault="00582E92" w:rsidP="00582E92">
      <w:pPr>
        <w:spacing w:line="360" w:lineRule="auto"/>
        <w:ind w:left="2268"/>
        <w:jc w:val="both"/>
        <w:rPr>
          <w:rFonts w:ascii="Segoe UI" w:hAnsi="Segoe UI" w:cs="Segoe UI"/>
          <w:i/>
          <w:iCs/>
          <w:color w:val="000000"/>
          <w:sz w:val="23"/>
          <w:szCs w:val="23"/>
          <w:shd w:val="clear" w:color="auto" w:fill="EEEEEE"/>
        </w:rPr>
      </w:pPr>
      <w:r>
        <w:rPr>
          <w:rFonts w:ascii="Segoe UI" w:hAnsi="Segoe UI" w:cs="Segoe UI"/>
          <w:i/>
          <w:iCs/>
          <w:color w:val="000000"/>
          <w:sz w:val="23"/>
          <w:szCs w:val="23"/>
          <w:shd w:val="clear" w:color="auto" w:fill="EEEEEE"/>
        </w:rPr>
        <w:t> </w:t>
      </w:r>
      <w:r>
        <w:rPr>
          <w:rFonts w:ascii="Segoe UI" w:hAnsi="Segoe UI" w:cs="Segoe UI"/>
          <w:b/>
          <w:bCs/>
          <w:i/>
          <w:iCs/>
          <w:color w:val="000000"/>
          <w:sz w:val="23"/>
          <w:szCs w:val="23"/>
          <w:shd w:val="clear" w:color="auto" w:fill="EEEEEE"/>
        </w:rPr>
        <w:t>§ 3º</w:t>
      </w:r>
      <w:r>
        <w:rPr>
          <w:rFonts w:ascii="Segoe UI" w:hAnsi="Segoe UI" w:cs="Segoe UI"/>
          <w:i/>
          <w:iCs/>
          <w:color w:val="000000"/>
          <w:sz w:val="23"/>
          <w:szCs w:val="23"/>
          <w:shd w:val="clear" w:color="auto" w:fill="EEEEEE"/>
        </w:rPr>
        <w:t> A permuta é o ato pelo qual o titular do cargo de carreira é substituído por outro profissional equivalente das esferas municipal, estadual e federal, mediante interesse da Administração.</w:t>
      </w:r>
      <w:r>
        <w:rPr>
          <w:rFonts w:ascii="Segoe UI" w:hAnsi="Segoe UI" w:cs="Segoe UI"/>
          <w:i/>
          <w:iCs/>
          <w:color w:val="000000"/>
          <w:sz w:val="23"/>
          <w:szCs w:val="23"/>
          <w:shd w:val="clear" w:color="auto" w:fill="EEEEEE"/>
        </w:rPr>
        <w:br/>
        <w:t>      </w:t>
      </w:r>
      <w:r>
        <w:rPr>
          <w:rFonts w:ascii="Segoe UI" w:hAnsi="Segoe UI" w:cs="Segoe UI"/>
          <w:b/>
          <w:bCs/>
          <w:i/>
          <w:iCs/>
          <w:color w:val="000000"/>
          <w:sz w:val="23"/>
          <w:szCs w:val="23"/>
          <w:shd w:val="clear" w:color="auto" w:fill="EEEEEE"/>
        </w:rPr>
        <w:t>I -</w:t>
      </w:r>
      <w:r>
        <w:rPr>
          <w:rFonts w:ascii="Segoe UI" w:hAnsi="Segoe UI" w:cs="Segoe UI"/>
          <w:i/>
          <w:iCs/>
          <w:color w:val="000000"/>
          <w:sz w:val="23"/>
          <w:szCs w:val="23"/>
          <w:shd w:val="clear" w:color="auto" w:fill="EEEEEE"/>
        </w:rPr>
        <w:t> Os servidores continuarão a ser remunerados pelos entes aos quais estão legalmente vinculados, cabendo ao ente que recebeu o servidor em permuta, controlar a efetividade e apresentar os relatórios correspondentes.</w:t>
      </w:r>
    </w:p>
    <w:p w:rsidR="00582E92" w:rsidRDefault="00582E92" w:rsidP="00582E92">
      <w:pPr>
        <w:spacing w:line="360" w:lineRule="auto"/>
        <w:ind w:left="2268"/>
        <w:jc w:val="both"/>
        <w:rPr>
          <w:rFonts w:ascii="Segoe UI" w:hAnsi="Segoe UI" w:cs="Segoe UI"/>
          <w:i/>
          <w:iCs/>
          <w:color w:val="000000"/>
          <w:sz w:val="23"/>
          <w:szCs w:val="23"/>
          <w:shd w:val="clear" w:color="auto" w:fill="EEEEEE"/>
        </w:rPr>
      </w:pPr>
    </w:p>
    <w:p w:rsidR="00582E92" w:rsidRDefault="00582E92" w:rsidP="00582E92">
      <w:pPr>
        <w:spacing w:line="360" w:lineRule="auto"/>
        <w:ind w:left="2268"/>
        <w:jc w:val="both"/>
      </w:pPr>
      <w:r>
        <w:rPr>
          <w:rFonts w:ascii="Segoe UI" w:hAnsi="Segoe UI" w:cs="Segoe UI"/>
          <w:i/>
          <w:iCs/>
          <w:color w:val="000000"/>
          <w:sz w:val="23"/>
          <w:szCs w:val="23"/>
          <w:shd w:val="clear" w:color="auto" w:fill="EEEEEE"/>
        </w:rPr>
        <w:br/>
        <w:t>      </w:t>
      </w:r>
      <w:r>
        <w:rPr>
          <w:rFonts w:ascii="Segoe UI" w:hAnsi="Segoe UI" w:cs="Segoe UI"/>
          <w:b/>
          <w:bCs/>
          <w:i/>
          <w:iCs/>
          <w:color w:val="000000"/>
          <w:sz w:val="23"/>
          <w:szCs w:val="23"/>
          <w:shd w:val="clear" w:color="auto" w:fill="EEEEEE"/>
        </w:rPr>
        <w:t>II -</w:t>
      </w:r>
      <w:r>
        <w:rPr>
          <w:rFonts w:ascii="Segoe UI" w:hAnsi="Segoe UI" w:cs="Segoe UI"/>
          <w:i/>
          <w:iCs/>
          <w:color w:val="000000"/>
          <w:sz w:val="23"/>
          <w:szCs w:val="23"/>
          <w:shd w:val="clear" w:color="auto" w:fill="EEEEEE"/>
        </w:rPr>
        <w:t> A permuta poderá ser desfeita pelo Executivo Municipal, se presente o interesse público, ou pelas partes permutadas, por requerimento.</w:t>
      </w:r>
    </w:p>
    <w:p w:rsidR="00182EC8" w:rsidRDefault="00182EC8" w:rsidP="00182EC8">
      <w:pPr>
        <w:spacing w:line="360" w:lineRule="auto"/>
        <w:jc w:val="both"/>
      </w:pPr>
    </w:p>
    <w:p w:rsidR="001D7934" w:rsidRDefault="001D7934" w:rsidP="001D7934">
      <w:pPr>
        <w:spacing w:line="360" w:lineRule="auto"/>
        <w:ind w:firstLine="708"/>
        <w:jc w:val="both"/>
      </w:pPr>
      <w:r>
        <w:t>No presente projeto cada município continuará a remunerar seu servidor, cabendo ao ente que recebeu o servidor em permuta controlar-lhe a efetividade e apresentar os relatórios.</w:t>
      </w:r>
    </w:p>
    <w:p w:rsidR="00182EC8" w:rsidRDefault="00182EC8" w:rsidP="001D7934">
      <w:pPr>
        <w:spacing w:line="360" w:lineRule="auto"/>
        <w:ind w:firstLine="708"/>
        <w:jc w:val="both"/>
      </w:pPr>
    </w:p>
    <w:p w:rsidR="001D7934" w:rsidRDefault="001D7934" w:rsidP="001D7934">
      <w:pPr>
        <w:spacing w:line="360" w:lineRule="auto"/>
        <w:ind w:firstLine="708"/>
        <w:jc w:val="both"/>
      </w:pPr>
      <w:r>
        <w:t>Também, importante frisar que a permuta deve atender também a necessidade dos servidores envolvidos.</w:t>
      </w:r>
    </w:p>
    <w:p w:rsidR="001D7934" w:rsidRPr="00FC32B9" w:rsidRDefault="001D7934" w:rsidP="001D7934">
      <w:pPr>
        <w:spacing w:line="360" w:lineRule="auto"/>
        <w:ind w:firstLine="708"/>
        <w:jc w:val="both"/>
      </w:pPr>
      <w:r>
        <w:t>Ante ao exposto, considero que o projeto é legal e Constitucional, e está a</w:t>
      </w:r>
      <w:r w:rsidRPr="00FC32B9">
        <w:t>pto a</w:t>
      </w:r>
      <w:r>
        <w:t xml:space="preserve"> ser analisado pelo</w:t>
      </w:r>
      <w:r w:rsidR="00582E92">
        <w:t>s</w:t>
      </w:r>
      <w:r>
        <w:t xml:space="preserve"> Nobres Edis.</w:t>
      </w:r>
    </w:p>
    <w:p w:rsidR="001D7934" w:rsidRPr="00FC32B9" w:rsidRDefault="001D7934" w:rsidP="001D7934">
      <w:pPr>
        <w:tabs>
          <w:tab w:val="left" w:pos="1620"/>
        </w:tabs>
        <w:jc w:val="both"/>
      </w:pPr>
    </w:p>
    <w:p w:rsidR="001D7934" w:rsidRDefault="001D7934" w:rsidP="001D7934">
      <w:pPr>
        <w:tabs>
          <w:tab w:val="left" w:pos="1620"/>
        </w:tabs>
      </w:pPr>
      <w:r>
        <w:t>É o parecer.</w:t>
      </w:r>
    </w:p>
    <w:p w:rsidR="001D7934" w:rsidRPr="00D95AA0" w:rsidRDefault="001D7934" w:rsidP="001D7934">
      <w:pPr>
        <w:tabs>
          <w:tab w:val="left" w:pos="1620"/>
        </w:tabs>
      </w:pPr>
    </w:p>
    <w:p w:rsidR="001D7934" w:rsidRPr="00D95AA0" w:rsidRDefault="001D7934" w:rsidP="001D7934">
      <w:pPr>
        <w:tabs>
          <w:tab w:val="left" w:pos="1620"/>
        </w:tabs>
      </w:pPr>
    </w:p>
    <w:p w:rsidR="001D7934" w:rsidRPr="00D95AA0" w:rsidRDefault="001D7934" w:rsidP="001D7934">
      <w:pPr>
        <w:tabs>
          <w:tab w:val="left" w:pos="1620"/>
        </w:tabs>
        <w:jc w:val="center"/>
      </w:pPr>
      <w:r>
        <w:t>Barra Funda, 24 de fevereiro de 2021</w:t>
      </w:r>
      <w:r w:rsidR="00582E92">
        <w:t>.</w:t>
      </w:r>
    </w:p>
    <w:p w:rsidR="001D7934" w:rsidRPr="00D95AA0" w:rsidRDefault="001D7934" w:rsidP="001D7934">
      <w:pPr>
        <w:jc w:val="center"/>
      </w:pPr>
    </w:p>
    <w:p w:rsidR="001D7934" w:rsidRPr="00D95AA0" w:rsidRDefault="001D7934" w:rsidP="001D7934">
      <w:pPr>
        <w:jc w:val="center"/>
      </w:pPr>
    </w:p>
    <w:p w:rsidR="001D7934" w:rsidRPr="00D95AA0" w:rsidRDefault="001D7934" w:rsidP="001D7934">
      <w:pPr>
        <w:tabs>
          <w:tab w:val="left" w:pos="2310"/>
        </w:tabs>
        <w:jc w:val="center"/>
      </w:pPr>
      <w:r>
        <w:t>JAQUELI DA SILVEIRA</w:t>
      </w:r>
    </w:p>
    <w:p w:rsidR="001D7934" w:rsidRDefault="001D7934" w:rsidP="001D7934">
      <w:pPr>
        <w:tabs>
          <w:tab w:val="left" w:pos="2310"/>
        </w:tabs>
        <w:jc w:val="center"/>
      </w:pPr>
      <w:r w:rsidRPr="00D95AA0">
        <w:t xml:space="preserve">OAB/RS </w:t>
      </w:r>
      <w:r>
        <w:t>86539</w:t>
      </w:r>
    </w:p>
    <w:p w:rsidR="001D7934" w:rsidRPr="00D95AA0" w:rsidRDefault="001D7934" w:rsidP="001D7934">
      <w:pPr>
        <w:tabs>
          <w:tab w:val="left" w:pos="2310"/>
        </w:tabs>
        <w:jc w:val="center"/>
        <w:rPr>
          <w:lang w:val="en-US"/>
        </w:rPr>
      </w:pPr>
      <w:r>
        <w:t>Assessora Jurídica do Legislativo</w:t>
      </w:r>
    </w:p>
    <w:p w:rsidR="007B1ADD" w:rsidRDefault="00B4348A"/>
    <w:sectPr w:rsidR="007B1A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934"/>
    <w:rsid w:val="00182EC8"/>
    <w:rsid w:val="001D7934"/>
    <w:rsid w:val="00582E92"/>
    <w:rsid w:val="00B4348A"/>
    <w:rsid w:val="00CD0BFD"/>
    <w:rsid w:val="00D20C19"/>
    <w:rsid w:val="00F0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731C98-546A-406C-922D-9A413AE4C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sid w:val="001D79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jaqueli</dc:creator>
  <cp:lastModifiedBy>Camara</cp:lastModifiedBy>
  <cp:revision>2</cp:revision>
  <cp:lastPrinted>2021-02-24T16:31:00Z</cp:lastPrinted>
  <dcterms:created xsi:type="dcterms:W3CDTF">2021-02-24T16:31:00Z</dcterms:created>
  <dcterms:modified xsi:type="dcterms:W3CDTF">2021-02-24T16:31:00Z</dcterms:modified>
</cp:coreProperties>
</file>