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AD6F57" w:rsidRDefault="001058CA" w:rsidP="001058CA">
      <w:pPr>
        <w:jc w:val="center"/>
        <w:rPr>
          <w:b/>
          <w:color w:val="000000" w:themeColor="text1"/>
          <w:u w:val="single"/>
        </w:rPr>
      </w:pPr>
      <w:r w:rsidRPr="00AD6F57">
        <w:rPr>
          <w:b/>
          <w:color w:val="000000" w:themeColor="text1"/>
          <w:u w:val="single"/>
        </w:rPr>
        <w:t>PARECER JURÍDICO</w:t>
      </w:r>
    </w:p>
    <w:p w:rsidR="001058CA" w:rsidRPr="00AD6F57" w:rsidRDefault="001058CA" w:rsidP="001058CA">
      <w:pPr>
        <w:rPr>
          <w:b/>
          <w:color w:val="000000" w:themeColor="text1"/>
        </w:rPr>
      </w:pPr>
    </w:p>
    <w:p w:rsidR="001058CA" w:rsidRPr="00AD6F57" w:rsidRDefault="001058CA" w:rsidP="001058CA">
      <w:pPr>
        <w:rPr>
          <w:b/>
          <w:color w:val="000000" w:themeColor="text1"/>
        </w:rPr>
      </w:pPr>
    </w:p>
    <w:p w:rsidR="001058CA" w:rsidRPr="00AD6F57" w:rsidRDefault="001058CA" w:rsidP="001058CA">
      <w:pPr>
        <w:rPr>
          <w:b/>
          <w:color w:val="000000" w:themeColor="text1"/>
        </w:rPr>
      </w:pPr>
    </w:p>
    <w:p w:rsidR="008406C4" w:rsidRPr="00920208" w:rsidRDefault="00C92306" w:rsidP="008406C4">
      <w:pPr>
        <w:jc w:val="center"/>
        <w:rPr>
          <w:b/>
        </w:rPr>
      </w:pPr>
      <w:r w:rsidRPr="00920208">
        <w:rPr>
          <w:b/>
          <w:color w:val="000000" w:themeColor="text1"/>
        </w:rPr>
        <w:t xml:space="preserve"> </w:t>
      </w:r>
      <w:r w:rsidR="008406C4" w:rsidRPr="00920208">
        <w:rPr>
          <w:b/>
        </w:rPr>
        <w:t>AO PROJETO DE LEI MUNICIPAL Nº</w:t>
      </w:r>
      <w:r w:rsidR="000A6827" w:rsidRPr="00920208">
        <w:rPr>
          <w:b/>
          <w:color w:val="000000"/>
          <w:sz w:val="27"/>
          <w:szCs w:val="27"/>
        </w:rPr>
        <w:t xml:space="preserve"> 014, DE 25 DE JULHO DE 201</w:t>
      </w:r>
      <w:r w:rsidR="00920208" w:rsidRPr="00920208">
        <w:rPr>
          <w:b/>
          <w:color w:val="000000"/>
          <w:sz w:val="27"/>
          <w:szCs w:val="27"/>
        </w:rPr>
        <w:t>9</w:t>
      </w:r>
      <w:r w:rsidR="00315A99">
        <w:rPr>
          <w:b/>
          <w:color w:val="000000"/>
          <w:sz w:val="27"/>
          <w:szCs w:val="27"/>
        </w:rPr>
        <w:t>.</w:t>
      </w:r>
    </w:p>
    <w:p w:rsidR="008406C4" w:rsidRPr="00AD6F57" w:rsidRDefault="008406C4" w:rsidP="008406C4">
      <w:pPr>
        <w:jc w:val="center"/>
        <w:rPr>
          <w:b/>
        </w:rPr>
      </w:pPr>
    </w:p>
    <w:p w:rsidR="008406C4" w:rsidRPr="00AD6F57" w:rsidRDefault="008406C4" w:rsidP="008406C4">
      <w:pPr>
        <w:jc w:val="both"/>
      </w:pPr>
    </w:p>
    <w:p w:rsidR="00492866" w:rsidRPr="00C868BE" w:rsidRDefault="00492866" w:rsidP="00C868BE">
      <w:pPr>
        <w:spacing w:line="360" w:lineRule="auto"/>
        <w:ind w:left="2268"/>
        <w:jc w:val="both"/>
        <w:rPr>
          <w:sz w:val="22"/>
          <w:szCs w:val="22"/>
        </w:rPr>
      </w:pPr>
      <w:r w:rsidRPr="00315A99">
        <w:rPr>
          <w:b/>
          <w:sz w:val="22"/>
          <w:szCs w:val="22"/>
        </w:rPr>
        <w:t>AUTORIZA O PODER EXECUTIVO MUNICIPAL A CONCESSÃO DE AUXÍLIO ALIMENTAÇÃO AOS SERVIDORES DO MUNICÍPIO DE BARRA FUNDA/RS, ABRE CRÉDITO ESPECIAL E APONTA RECURSO</w:t>
      </w:r>
      <w:r w:rsidR="00C868BE" w:rsidRPr="00315A99">
        <w:rPr>
          <w:b/>
          <w:sz w:val="22"/>
          <w:szCs w:val="22"/>
        </w:rPr>
        <w:t>S</w:t>
      </w:r>
      <w:r w:rsidR="00C868BE">
        <w:rPr>
          <w:sz w:val="22"/>
          <w:szCs w:val="22"/>
        </w:rPr>
        <w:t>.</w:t>
      </w:r>
    </w:p>
    <w:p w:rsidR="00492866" w:rsidRPr="00AD6F57" w:rsidRDefault="00492866" w:rsidP="008406C4">
      <w:pPr>
        <w:spacing w:line="360" w:lineRule="auto"/>
        <w:ind w:firstLine="709"/>
        <w:jc w:val="both"/>
      </w:pPr>
    </w:p>
    <w:p w:rsidR="008406C4" w:rsidRPr="00AD6F57" w:rsidRDefault="008406C4" w:rsidP="008406C4">
      <w:pPr>
        <w:spacing w:line="360" w:lineRule="auto"/>
        <w:ind w:firstLine="709"/>
        <w:jc w:val="both"/>
      </w:pPr>
      <w:r w:rsidRPr="00AD6F57">
        <w:t>O presente projeto foi apresentado para análise Legislati</w:t>
      </w:r>
      <w:r w:rsidR="00492866" w:rsidRPr="00AD6F57">
        <w:t>va e visa conforme art.1 autorizar o Poder Executivo Municipal, a instituição em âmbito do Município de Barra Funda/RS, o direito à percepção mensal de auxílio alimentação, de natureza indenizatória, aos Servidores Públicos efetivos e temporários, Secretários Municipais, Cargos em Comissão, Conselheiros Tutelares e Empregados Públicos</w:t>
      </w:r>
      <w:r w:rsidR="00492866" w:rsidRPr="00AD6F57">
        <w:rPr>
          <w:color w:val="FF0000"/>
        </w:rPr>
        <w:t>.</w:t>
      </w:r>
      <w:r w:rsidRPr="00AD6F57">
        <w:t xml:space="preserve"> </w:t>
      </w:r>
    </w:p>
    <w:p w:rsidR="00492866" w:rsidRPr="00AD6F57" w:rsidRDefault="00492866" w:rsidP="008406C4">
      <w:pPr>
        <w:spacing w:line="360" w:lineRule="auto"/>
        <w:ind w:firstLine="709"/>
        <w:jc w:val="both"/>
      </w:pPr>
      <w:r w:rsidRPr="00AD6F57">
        <w:t xml:space="preserve">O </w:t>
      </w:r>
      <w:r w:rsidR="00C868BE">
        <w:t>projeto também</w:t>
      </w:r>
      <w:r w:rsidRPr="00AD6F57">
        <w:t xml:space="preserve"> abre crédito especial e aponta recursos.</w:t>
      </w:r>
    </w:p>
    <w:p w:rsidR="00492866" w:rsidRPr="00AD6F57" w:rsidRDefault="00492866" w:rsidP="008406C4">
      <w:pPr>
        <w:spacing w:line="360" w:lineRule="auto"/>
        <w:ind w:firstLine="709"/>
        <w:jc w:val="both"/>
      </w:pPr>
      <w:r w:rsidRPr="00AD6F57">
        <w:t>O Referido projeto de lei encontra-se devidamente iniciado, não contendo nenhum vicio. Da mesma forma é constitucional e legal, não afrontando qualquer dispositivo da Constituição da Republica nem da Legislação Infraconstitucional em vigor.</w:t>
      </w:r>
    </w:p>
    <w:p w:rsidR="00492866" w:rsidRPr="00AD6F57" w:rsidRDefault="00492866" w:rsidP="008406C4">
      <w:pPr>
        <w:spacing w:line="360" w:lineRule="auto"/>
        <w:ind w:firstLine="709"/>
        <w:jc w:val="both"/>
      </w:pPr>
      <w:r w:rsidRPr="00AD6F57">
        <w:t>Inicialmente, cumpre observar que a matéria encontra-se no nível de competência do Município, por força da Constituição Federal e da Lei Orgânica Municipal.</w:t>
      </w:r>
    </w:p>
    <w:p w:rsidR="00492866" w:rsidRPr="00AD6F57" w:rsidRDefault="00492866" w:rsidP="008406C4">
      <w:pPr>
        <w:spacing w:line="360" w:lineRule="auto"/>
        <w:ind w:firstLine="709"/>
        <w:jc w:val="both"/>
        <w:rPr>
          <w:b/>
        </w:rPr>
      </w:pPr>
      <w:r w:rsidRPr="00AD6F57">
        <w:t>Quanto à iniciativa, também não merece reparo, uma vez que é da competência do Chefe do Executivo Municipal a iniciativa de apresentar proposições desta nature</w:t>
      </w:r>
      <w:r w:rsidR="00AF3A0E" w:rsidRPr="00AD6F57">
        <w:t xml:space="preserve">za, conforme determinado pelo art. 55, inciso VII, que institui a competência do prefeito </w:t>
      </w:r>
      <w:proofErr w:type="gramStart"/>
      <w:r w:rsidR="00AF3A0E" w:rsidRPr="00AD6F57">
        <w:t xml:space="preserve">para </w:t>
      </w:r>
      <w:r w:rsidRPr="00AD6F57">
        <w:rPr>
          <w:b/>
        </w:rPr>
        <w:t xml:space="preserve"> </w:t>
      </w:r>
      <w:r w:rsidR="00315A99">
        <w:rPr>
          <w:b/>
        </w:rPr>
        <w:t>“</w:t>
      </w:r>
      <w:proofErr w:type="gramEnd"/>
      <w:r w:rsidRPr="00AD6F57">
        <w:rPr>
          <w:b/>
        </w:rPr>
        <w:t>dispor sobre a organização e o funcionamento da Administração Municipal, na forma da lei</w:t>
      </w:r>
      <w:r w:rsidR="00315A99">
        <w:rPr>
          <w:b/>
        </w:rPr>
        <w:t>.”</w:t>
      </w:r>
    </w:p>
    <w:p w:rsidR="00AF3A0E" w:rsidRPr="00AD6F57" w:rsidRDefault="00AF3A0E" w:rsidP="008406C4">
      <w:pPr>
        <w:spacing w:line="360" w:lineRule="auto"/>
        <w:ind w:firstLine="709"/>
        <w:jc w:val="both"/>
      </w:pPr>
      <w:r w:rsidRPr="00AD6F57">
        <w:t>No que tange a técnica legislativa e ao rito legislativo, cabe observar que a proposição foi apresentada corretamente, uma vez que respeitados os dispositivos legais.</w:t>
      </w:r>
    </w:p>
    <w:p w:rsidR="00315A99" w:rsidRDefault="00315A99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315A99" w:rsidRDefault="00315A99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315A99" w:rsidRDefault="00315A99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315A99" w:rsidRDefault="00315A99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492866" w:rsidRPr="00C868BE" w:rsidRDefault="00804A43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868BE">
        <w:rPr>
          <w:color w:val="000000"/>
          <w:shd w:val="clear" w:color="auto" w:fill="FFFFFF"/>
        </w:rPr>
        <w:t>O benefício que se está instituin</w:t>
      </w:r>
      <w:r w:rsidR="00ED6075" w:rsidRPr="00C868BE">
        <w:rPr>
          <w:color w:val="000000"/>
          <w:shd w:val="clear" w:color="auto" w:fill="FFFFFF"/>
        </w:rPr>
        <w:t xml:space="preserve">do tem natureza jurídica de Auxilio </w:t>
      </w:r>
      <w:r w:rsidRPr="00C868BE">
        <w:rPr>
          <w:color w:val="000000"/>
          <w:shd w:val="clear" w:color="auto" w:fill="FFFFFF"/>
        </w:rPr>
        <w:t>alimentação, já que é representado em documento ou cartão magnético disponibilizado por empresa especializada através do qual se depositam valores para a compra de produto</w:t>
      </w:r>
      <w:r w:rsidR="00ED6075" w:rsidRPr="00C868BE">
        <w:rPr>
          <w:color w:val="000000"/>
          <w:shd w:val="clear" w:color="auto" w:fill="FFFFFF"/>
        </w:rPr>
        <w:t>s alimentícios em supermercados e afins.</w:t>
      </w:r>
      <w:r w:rsidRPr="00C868BE">
        <w:rPr>
          <w:color w:val="000000"/>
          <w:shd w:val="clear" w:color="auto" w:fill="FFFFFF"/>
        </w:rPr>
        <w:t xml:space="preserve"> Apesar de sua já consolidada utilização, não há vinculação constitucional ou legal direta que determine, obrigatoriamente, a sua concessão. Em geral, o benefício é deferido por mera liberalidade </w:t>
      </w:r>
      <w:r w:rsidR="00ED6075" w:rsidRPr="00C868BE">
        <w:rPr>
          <w:color w:val="000000"/>
          <w:shd w:val="clear" w:color="auto" w:fill="FFFFFF"/>
        </w:rPr>
        <w:t>do gestor.</w:t>
      </w:r>
    </w:p>
    <w:p w:rsidR="00492866" w:rsidRPr="00C868BE" w:rsidRDefault="00A965BF" w:rsidP="008406C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868BE">
        <w:rPr>
          <w:color w:val="000000"/>
          <w:shd w:val="clear" w:color="auto" w:fill="FFFFFF"/>
        </w:rPr>
        <w:t>Para a instituição do benefício, entendem os Tribunais de Contas ser indispensável a aprovação de</w:t>
      </w:r>
      <w:r w:rsidRPr="00C868BE">
        <w:rPr>
          <w:rStyle w:val="apple-converted-space"/>
          <w:color w:val="000000"/>
          <w:shd w:val="clear" w:color="auto" w:fill="FFFFFF"/>
        </w:rPr>
        <w:t> </w:t>
      </w:r>
      <w:r w:rsidRPr="00C868BE">
        <w:rPr>
          <w:rStyle w:val="Forte"/>
          <w:color w:val="000000"/>
          <w:shd w:val="clear" w:color="auto" w:fill="FFFFFF"/>
        </w:rPr>
        <w:t>lei em sentido estrito</w:t>
      </w:r>
      <w:r w:rsidRPr="00C868BE">
        <w:rPr>
          <w:color w:val="000000"/>
          <w:shd w:val="clear" w:color="auto" w:fill="FFFFFF"/>
        </w:rPr>
        <w:t xml:space="preserve">, considerando que o </w:t>
      </w:r>
      <w:proofErr w:type="spellStart"/>
      <w:r w:rsidRPr="00C868BE">
        <w:rPr>
          <w:color w:val="000000"/>
          <w:shd w:val="clear" w:color="auto" w:fill="FFFFFF"/>
        </w:rPr>
        <w:t>auxilio</w:t>
      </w:r>
      <w:proofErr w:type="spellEnd"/>
      <w:r w:rsidRPr="00C868BE">
        <w:rPr>
          <w:color w:val="000000"/>
          <w:shd w:val="clear" w:color="auto" w:fill="FFFFFF"/>
        </w:rPr>
        <w:t>-alimentação representa, necessariamente, a realização de despesas públicas e a criação de direito subjetivo a todos os titulares de cargos públicos, o que só a lei formal poderia justificar. Além disso, como bem fez o Executivo, o benefício aqui estabelecido só poderá ser aplicado aos servidores ativos vinculados àquele poder.</w:t>
      </w:r>
    </w:p>
    <w:p w:rsidR="0082684F" w:rsidRPr="00C868BE" w:rsidRDefault="00A965BF" w:rsidP="0082684F">
      <w:pPr>
        <w:spacing w:line="360" w:lineRule="auto"/>
        <w:ind w:firstLine="709"/>
        <w:jc w:val="both"/>
      </w:pPr>
      <w:r w:rsidRPr="00C868BE">
        <w:rPr>
          <w:color w:val="000000"/>
          <w:shd w:val="clear" w:color="auto" w:fill="FFFFFF"/>
        </w:rPr>
        <w:t>Conforme disposto pelos termos do presente projeto</w:t>
      </w:r>
      <w:r w:rsidR="00C868BE">
        <w:rPr>
          <w:color w:val="000000"/>
          <w:shd w:val="clear" w:color="auto" w:fill="FFFFFF"/>
        </w:rPr>
        <w:t>,</w:t>
      </w:r>
      <w:r w:rsidRPr="00C868BE">
        <w:rPr>
          <w:color w:val="000000"/>
          <w:shd w:val="clear" w:color="auto" w:fill="FFFFFF"/>
        </w:rPr>
        <w:t xml:space="preserve"> o referido auxilio possui natureza indenizatória, haja vista que </w:t>
      </w:r>
      <w:r w:rsidR="0082684F" w:rsidRPr="00C868BE">
        <w:rPr>
          <w:color w:val="000000"/>
          <w:shd w:val="clear" w:color="auto" w:fill="FFFFFF"/>
        </w:rPr>
        <w:t xml:space="preserve">é extensivo </w:t>
      </w:r>
      <w:r w:rsidR="0082684F" w:rsidRPr="00C868BE">
        <w:t>somente aos servidores  ativos, a</w:t>
      </w:r>
      <w:r w:rsidR="0082684F" w:rsidRPr="00C868BE">
        <w:rPr>
          <w:color w:val="000000"/>
          <w:shd w:val="clear" w:color="auto" w:fill="FFFFFF"/>
        </w:rPr>
        <w:t xml:space="preserve"> </w:t>
      </w:r>
      <w:r w:rsidR="0082684F" w:rsidRPr="00C868BE">
        <w:t>concessão  do  vale</w:t>
      </w:r>
      <w:r w:rsidR="0082684F" w:rsidRPr="00C868BE">
        <w:rPr>
          <w:color w:val="000000"/>
          <w:shd w:val="clear" w:color="auto" w:fill="FFFFFF"/>
        </w:rPr>
        <w:t xml:space="preserve"> </w:t>
      </w:r>
      <w:r w:rsidR="0082684F" w:rsidRPr="00C868BE">
        <w:t>alimentação  exclusivamente  nos  períodos  em  que  os  servidores estiverem  efetivamente  em  exercício  (sem  previsão  de  direito,  portanto,  em  qualquer afastamento</w:t>
      </w:r>
      <w:r w:rsidR="00C868BE">
        <w:t>)</w:t>
      </w:r>
      <w:r w:rsidR="0082684F" w:rsidRPr="00C868BE">
        <w:t xml:space="preserve">, </w:t>
      </w:r>
      <w:r w:rsidR="00315A99">
        <w:t>e prevê</w:t>
      </w:r>
      <w:r w:rsidR="0082684F" w:rsidRPr="00C868BE">
        <w:t xml:space="preserve">  que  os  servidores  contribuam com  um</w:t>
      </w:r>
      <w:r w:rsidR="0082684F" w:rsidRPr="00C868BE">
        <w:rPr>
          <w:color w:val="000000"/>
          <w:shd w:val="clear" w:color="auto" w:fill="FFFFFF"/>
        </w:rPr>
        <w:t xml:space="preserve"> </w:t>
      </w:r>
      <w:r w:rsidR="0082684F" w:rsidRPr="00C868BE">
        <w:t>percentual  da  sua  remuneração  para  o  custeio  da  despesa.</w:t>
      </w:r>
    </w:p>
    <w:p w:rsidR="00AD6F57" w:rsidRPr="00C868BE" w:rsidRDefault="00AD6F57" w:rsidP="00C868BE">
      <w:pPr>
        <w:spacing w:after="120" w:line="360" w:lineRule="auto"/>
        <w:ind w:firstLine="708"/>
        <w:jc w:val="both"/>
      </w:pPr>
      <w:r w:rsidRPr="00C868BE">
        <w:t xml:space="preserve">Quanto </w:t>
      </w:r>
      <w:r w:rsidR="00C868BE">
        <w:t>ao custeio da despesa oriunda</w:t>
      </w:r>
      <w:r w:rsidRPr="00C868BE">
        <w:t xml:space="preserve"> do presente projeto, o mesmo especifica que o poder exec</w:t>
      </w:r>
      <w:r w:rsidR="00C868BE">
        <w:t>utivo ficará autorizado a abrir</w:t>
      </w:r>
      <w:r w:rsidRPr="00C868BE">
        <w:t xml:space="preserve"> o seguinte crédito especial: ADMINISTRAÇÃO           0301 04 122 0</w:t>
      </w:r>
      <w:r w:rsidR="00315A99">
        <w:t xml:space="preserve">016 2004 33904600000000 </w:t>
      </w:r>
      <w:proofErr w:type="gramStart"/>
      <w:r w:rsidR="00315A99">
        <w:t>0001 ,</w:t>
      </w:r>
      <w:proofErr w:type="gramEnd"/>
      <w:r w:rsidR="00315A99">
        <w:t xml:space="preserve"> valor de </w:t>
      </w:r>
      <w:r w:rsidRPr="00C868BE">
        <w:t>R$100.000,00. Servindo de recurso para o mesmo o superávit financeiro do exercício anterior.</w:t>
      </w:r>
    </w:p>
    <w:p w:rsidR="00C868BE" w:rsidRDefault="00AD6F57" w:rsidP="00AD6F57">
      <w:pPr>
        <w:spacing w:after="120" w:line="360" w:lineRule="auto"/>
        <w:jc w:val="both"/>
      </w:pPr>
      <w:r w:rsidRPr="00C868BE">
        <w:tab/>
        <w:t>Nesse sentido, o projeto encontra-se em consonância com o art. 27 da LDO</w:t>
      </w:r>
      <w:r w:rsidR="00C868BE">
        <w:t>.</w:t>
      </w:r>
    </w:p>
    <w:p w:rsidR="00AD6F57" w:rsidRPr="00C868BE" w:rsidRDefault="00AD6F57" w:rsidP="00AD6F57">
      <w:pPr>
        <w:spacing w:after="120" w:line="360" w:lineRule="auto"/>
        <w:jc w:val="both"/>
      </w:pPr>
      <w:r w:rsidRPr="00C868BE">
        <w:t xml:space="preserve"> Art. 27 A abertura de créditos suplementares e especiais dependerá da existência de recursos disponíveis para a despesa, nos termos da Lei Federal nº 4.320/64, conforme segue:</w:t>
      </w:r>
    </w:p>
    <w:p w:rsidR="00AD6F57" w:rsidRPr="00C868BE" w:rsidRDefault="00AD6F57" w:rsidP="00AD6F57">
      <w:pPr>
        <w:pStyle w:val="NormalWeb"/>
        <w:shd w:val="clear" w:color="auto" w:fill="FFFFFF"/>
        <w:spacing w:before="0" w:beforeAutospacing="0" w:after="0" w:afterAutospacing="0"/>
        <w:ind w:left="2268"/>
        <w:rPr>
          <w:color w:val="000000"/>
          <w:sz w:val="22"/>
          <w:szCs w:val="22"/>
        </w:rPr>
      </w:pPr>
      <w:r w:rsidRPr="00C868BE">
        <w:rPr>
          <w:color w:val="000000"/>
          <w:sz w:val="22"/>
          <w:szCs w:val="22"/>
        </w:rPr>
        <w:t>Art. 43. A abertura dos créditos suplementar</w:t>
      </w:r>
      <w:r w:rsidRPr="00C868BE">
        <w:rPr>
          <w:i/>
          <w:iCs/>
          <w:color w:val="000000"/>
          <w:sz w:val="22"/>
          <w:szCs w:val="22"/>
        </w:rPr>
        <w:t>es e especiais depende da existência de recursos disponíveis para ocorrer a despesa e será precedida de exposição justificativa.                 </w:t>
      </w:r>
      <w:r w:rsidRPr="00C868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C868BE">
        <w:rPr>
          <w:color w:val="000000"/>
          <w:sz w:val="22"/>
          <w:szCs w:val="22"/>
        </w:rPr>
        <w:t> </w:t>
      </w:r>
      <w:hyperlink r:id="rId7" w:anchor="veto" w:history="1">
        <w:r w:rsidRPr="00C868BE">
          <w:rPr>
            <w:rStyle w:val="Hyperlink"/>
            <w:sz w:val="22"/>
            <w:szCs w:val="22"/>
          </w:rPr>
          <w:t>(Veto rejeitado no DOU, de  5.5.1964)</w:t>
        </w:r>
      </w:hyperlink>
    </w:p>
    <w:p w:rsidR="00315A99" w:rsidRDefault="00315A99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  <w:bookmarkStart w:id="1" w:name="art43§1"/>
      <w:bookmarkEnd w:id="1"/>
    </w:p>
    <w:p w:rsidR="00315A99" w:rsidRDefault="00315A99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</w:p>
    <w:p w:rsidR="00315A99" w:rsidRDefault="00315A99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</w:p>
    <w:p w:rsidR="00315A99" w:rsidRDefault="00315A99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</w:p>
    <w:p w:rsidR="00315A99" w:rsidRDefault="00315A99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</w:p>
    <w:p w:rsidR="00AD6F57" w:rsidRPr="00C868BE" w:rsidRDefault="00AD6F57" w:rsidP="00AD6F57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  <w:sz w:val="22"/>
          <w:szCs w:val="22"/>
        </w:rPr>
      </w:pPr>
      <w:r w:rsidRPr="00C868BE">
        <w:rPr>
          <w:color w:val="000000"/>
          <w:sz w:val="22"/>
          <w:szCs w:val="22"/>
        </w:rPr>
        <w:t>§ 1º Consideram-se recursos para o fim deste artigo, desde que não comprometidos.</w:t>
      </w:r>
    </w:p>
    <w:p w:rsidR="00492866" w:rsidRPr="00C868BE" w:rsidRDefault="00AD6F57" w:rsidP="00C868BE">
      <w:pPr>
        <w:pStyle w:val="NormalWeb"/>
        <w:shd w:val="clear" w:color="auto" w:fill="FFFFFF"/>
        <w:spacing w:before="0" w:beforeAutospacing="0" w:after="0" w:afterAutospacing="0"/>
        <w:ind w:left="2268" w:firstLine="567"/>
        <w:rPr>
          <w:color w:val="000000"/>
        </w:rPr>
      </w:pPr>
      <w:bookmarkStart w:id="2" w:name="art43§1i"/>
      <w:bookmarkEnd w:id="2"/>
      <w:r w:rsidRPr="00C868BE">
        <w:rPr>
          <w:color w:val="000000"/>
          <w:sz w:val="22"/>
          <w:szCs w:val="22"/>
        </w:rPr>
        <w:t>I - o superávit financeiro apurado em balanço patrimonial do exercício anterior</w:t>
      </w:r>
      <w:r w:rsidRPr="00AD6F57">
        <w:rPr>
          <w:color w:val="000000"/>
        </w:rPr>
        <w:t>; </w:t>
      </w:r>
    </w:p>
    <w:p w:rsidR="00AD4D3B" w:rsidRPr="00AD6F57" w:rsidRDefault="00AD4D3B" w:rsidP="0096602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AD6F57">
        <w:rPr>
          <w:color w:val="000000" w:themeColor="text1"/>
        </w:rPr>
        <w:t>Em face ao exposto, o projeto é LEGAL e CONSTITUCIONAL, nos termos d</w:t>
      </w:r>
      <w:r w:rsidR="00AD6F57" w:rsidRPr="00AD6F57">
        <w:rPr>
          <w:color w:val="000000" w:themeColor="text1"/>
        </w:rPr>
        <w:t>os da Lei Orgânica Municipal e Lei de Diretrizes Orçamentárias</w:t>
      </w:r>
      <w:r w:rsidR="00C868BE">
        <w:rPr>
          <w:color w:val="000000" w:themeColor="text1"/>
        </w:rPr>
        <w:t>,</w:t>
      </w:r>
      <w:r w:rsidR="00AD6F57" w:rsidRPr="00AD6F57">
        <w:rPr>
          <w:color w:val="000000" w:themeColor="text1"/>
        </w:rPr>
        <w:t xml:space="preserve"> Lei </w:t>
      </w:r>
      <w:r w:rsidR="00AD6F57" w:rsidRPr="00AD6F57">
        <w:t>1121, DE 27 DE SETEMBRO DE 2018</w:t>
      </w:r>
      <w:r w:rsidR="006F7224" w:rsidRPr="00AD6F57">
        <w:rPr>
          <w:color w:val="000000" w:themeColor="text1"/>
        </w:rPr>
        <w:t xml:space="preserve">. </w:t>
      </w:r>
      <w:r w:rsidR="005770CD" w:rsidRPr="00AD6F57">
        <w:rPr>
          <w:color w:val="000000" w:themeColor="text1"/>
        </w:rPr>
        <w:t>R</w:t>
      </w:r>
      <w:r w:rsidRPr="00AD6F57">
        <w:rPr>
          <w:color w:val="000000" w:themeColor="text1"/>
        </w:rPr>
        <w:t>azão pela qual O PARECER desta Assessoria Jurídica é FAVORÁVEL, estando apto a ser analisado pelo legislativo.</w:t>
      </w:r>
    </w:p>
    <w:p w:rsidR="00F5545A" w:rsidRPr="00AD6F57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AD6F57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AD6F57">
        <w:rPr>
          <w:color w:val="000000" w:themeColor="text1"/>
        </w:rPr>
        <w:t xml:space="preserve">Barra Funda, </w:t>
      </w:r>
      <w:r w:rsidR="00AD6F57" w:rsidRPr="00AD6F57">
        <w:rPr>
          <w:color w:val="000000" w:themeColor="text1"/>
        </w:rPr>
        <w:t>12 de agosto de 2019.</w:t>
      </w:r>
    </w:p>
    <w:p w:rsidR="00B86EFB" w:rsidRPr="00AD6F57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AD6F57" w:rsidRDefault="00F826D6" w:rsidP="00F826D6">
      <w:pPr>
        <w:ind w:firstLine="708"/>
        <w:jc w:val="center"/>
      </w:pPr>
      <w:r w:rsidRPr="00AD6F57">
        <w:t>_______________________________________</w:t>
      </w:r>
    </w:p>
    <w:p w:rsidR="00B86EFB" w:rsidRPr="00AD6F57" w:rsidRDefault="00B86EFB" w:rsidP="00F826D6">
      <w:pPr>
        <w:ind w:firstLine="709"/>
        <w:jc w:val="center"/>
      </w:pPr>
      <w:proofErr w:type="spellStart"/>
      <w:r w:rsidRPr="00AD6F57">
        <w:t>Jaqueli</w:t>
      </w:r>
      <w:proofErr w:type="spellEnd"/>
      <w:r w:rsidRPr="00AD6F57">
        <w:t xml:space="preserve"> da Silveira</w:t>
      </w:r>
    </w:p>
    <w:p w:rsidR="001058CA" w:rsidRPr="00AD6F57" w:rsidRDefault="00B86EFB" w:rsidP="00272DBA">
      <w:pPr>
        <w:ind w:firstLine="709"/>
        <w:jc w:val="center"/>
        <w:rPr>
          <w:sz w:val="28"/>
          <w:szCs w:val="28"/>
        </w:rPr>
      </w:pPr>
      <w:r w:rsidRPr="00AD6F57">
        <w:t>Assessora jurídica</w:t>
      </w:r>
      <w:r w:rsidR="00F826D6" w:rsidRPr="00AD6F57">
        <w:t>/OAB RS 86.539</w:t>
      </w:r>
    </w:p>
    <w:sectPr w:rsidR="001058CA" w:rsidRPr="00AD6F57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41" w:rsidRDefault="00374441" w:rsidP="00BA7B1F">
      <w:r>
        <w:separator/>
      </w:r>
    </w:p>
  </w:endnote>
  <w:endnote w:type="continuationSeparator" w:id="0">
    <w:p w:rsidR="00374441" w:rsidRDefault="0037444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41" w:rsidRDefault="00374441" w:rsidP="00BA7B1F">
      <w:r>
        <w:separator/>
      </w:r>
    </w:p>
  </w:footnote>
  <w:footnote w:type="continuationSeparator" w:id="0">
    <w:p w:rsidR="00374441" w:rsidRDefault="0037444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80C81"/>
    <w:rsid w:val="000A06B5"/>
    <w:rsid w:val="000A6827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0254F"/>
    <w:rsid w:val="00247E41"/>
    <w:rsid w:val="00256063"/>
    <w:rsid w:val="00272DBA"/>
    <w:rsid w:val="0027463D"/>
    <w:rsid w:val="00277BEB"/>
    <w:rsid w:val="002F2900"/>
    <w:rsid w:val="003023F3"/>
    <w:rsid w:val="00315A99"/>
    <w:rsid w:val="00340CD6"/>
    <w:rsid w:val="003728AA"/>
    <w:rsid w:val="00374441"/>
    <w:rsid w:val="003C3DD5"/>
    <w:rsid w:val="003C6D44"/>
    <w:rsid w:val="003D1B8A"/>
    <w:rsid w:val="00411F3E"/>
    <w:rsid w:val="00420E83"/>
    <w:rsid w:val="0043704E"/>
    <w:rsid w:val="004519AD"/>
    <w:rsid w:val="004613EE"/>
    <w:rsid w:val="00467E6F"/>
    <w:rsid w:val="004826F9"/>
    <w:rsid w:val="00492866"/>
    <w:rsid w:val="004A0680"/>
    <w:rsid w:val="004C0F5F"/>
    <w:rsid w:val="004C5DEE"/>
    <w:rsid w:val="004D2CD3"/>
    <w:rsid w:val="004E6B83"/>
    <w:rsid w:val="005330BA"/>
    <w:rsid w:val="0053541F"/>
    <w:rsid w:val="00572EA8"/>
    <w:rsid w:val="00574CBB"/>
    <w:rsid w:val="005770CD"/>
    <w:rsid w:val="00582495"/>
    <w:rsid w:val="005F37AA"/>
    <w:rsid w:val="005F4C86"/>
    <w:rsid w:val="00601B0E"/>
    <w:rsid w:val="006570BB"/>
    <w:rsid w:val="0067076C"/>
    <w:rsid w:val="006A48FD"/>
    <w:rsid w:val="006E6548"/>
    <w:rsid w:val="006F7224"/>
    <w:rsid w:val="00784B63"/>
    <w:rsid w:val="007A6275"/>
    <w:rsid w:val="007C5483"/>
    <w:rsid w:val="00804A43"/>
    <w:rsid w:val="00806FAC"/>
    <w:rsid w:val="0082684F"/>
    <w:rsid w:val="00833BF4"/>
    <w:rsid w:val="008348B1"/>
    <w:rsid w:val="008406C4"/>
    <w:rsid w:val="008A7D42"/>
    <w:rsid w:val="008D1BDD"/>
    <w:rsid w:val="00911412"/>
    <w:rsid w:val="00920208"/>
    <w:rsid w:val="00957502"/>
    <w:rsid w:val="00960A67"/>
    <w:rsid w:val="00966029"/>
    <w:rsid w:val="00984DA7"/>
    <w:rsid w:val="009912FA"/>
    <w:rsid w:val="009A3D91"/>
    <w:rsid w:val="009B4136"/>
    <w:rsid w:val="009F480C"/>
    <w:rsid w:val="00A411FE"/>
    <w:rsid w:val="00A477CD"/>
    <w:rsid w:val="00A86B35"/>
    <w:rsid w:val="00A957D6"/>
    <w:rsid w:val="00A965BF"/>
    <w:rsid w:val="00AD4D3B"/>
    <w:rsid w:val="00AD6F57"/>
    <w:rsid w:val="00AF3A0E"/>
    <w:rsid w:val="00B20680"/>
    <w:rsid w:val="00B43B9E"/>
    <w:rsid w:val="00B510D4"/>
    <w:rsid w:val="00B54625"/>
    <w:rsid w:val="00B86EFB"/>
    <w:rsid w:val="00BA0D74"/>
    <w:rsid w:val="00BA7B1F"/>
    <w:rsid w:val="00BC3A04"/>
    <w:rsid w:val="00BE1975"/>
    <w:rsid w:val="00C02A62"/>
    <w:rsid w:val="00C72FBC"/>
    <w:rsid w:val="00C868BE"/>
    <w:rsid w:val="00C92306"/>
    <w:rsid w:val="00C93D2F"/>
    <w:rsid w:val="00D14553"/>
    <w:rsid w:val="00D72142"/>
    <w:rsid w:val="00DA4004"/>
    <w:rsid w:val="00DB668E"/>
    <w:rsid w:val="00DD22D8"/>
    <w:rsid w:val="00DE512A"/>
    <w:rsid w:val="00E14E46"/>
    <w:rsid w:val="00E42909"/>
    <w:rsid w:val="00E717D2"/>
    <w:rsid w:val="00E87DCD"/>
    <w:rsid w:val="00ED6075"/>
    <w:rsid w:val="00ED72B4"/>
    <w:rsid w:val="00F054A8"/>
    <w:rsid w:val="00F236FE"/>
    <w:rsid w:val="00F44A07"/>
    <w:rsid w:val="00F5545A"/>
    <w:rsid w:val="00F826D6"/>
    <w:rsid w:val="00FD4F48"/>
    <w:rsid w:val="00FE19F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76E7-E037-4159-9EED-3D53008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9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432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70D9-6765-46E8-82D0-7CAA346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2019-08-13T17:18:00Z</dcterms:created>
  <dcterms:modified xsi:type="dcterms:W3CDTF">2019-08-13T17:18:00Z</dcterms:modified>
</cp:coreProperties>
</file>